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66B78FF3" w:rsidR="00EC7023" w:rsidRPr="000A0E05" w:rsidRDefault="00EC7023" w:rsidP="005A54D0">
      <w:pPr>
        <w:jc w:val="center"/>
        <w:rPr>
          <w:rFonts w:ascii="Arial" w:hAnsi="Arial" w:cs="Arial"/>
          <w:b/>
          <w:bCs/>
          <w:sz w:val="28"/>
          <w:szCs w:val="28"/>
        </w:rPr>
      </w:pPr>
      <w:r w:rsidRPr="17F06E75">
        <w:rPr>
          <w:rFonts w:ascii="Arial" w:hAnsi="Arial" w:cs="Arial"/>
          <w:b/>
          <w:bCs/>
          <w:sz w:val="32"/>
          <w:szCs w:val="32"/>
        </w:rPr>
        <w:t>Invitation to Tender (</w:t>
      </w:r>
      <w:r w:rsidR="00322CE2" w:rsidRPr="17F06E75">
        <w:rPr>
          <w:rFonts w:ascii="Arial" w:hAnsi="Arial" w:cs="Arial"/>
          <w:b/>
          <w:bCs/>
          <w:sz w:val="32"/>
          <w:szCs w:val="32"/>
        </w:rPr>
        <w:t>ITT</w:t>
      </w:r>
      <w:r w:rsidRPr="17F06E75">
        <w:rPr>
          <w:rFonts w:ascii="Arial" w:hAnsi="Arial" w:cs="Arial"/>
          <w:b/>
          <w:bCs/>
          <w:sz w:val="32"/>
          <w:szCs w:val="32"/>
        </w:rPr>
        <w:t xml:space="preserve">) for the </w:t>
      </w:r>
      <w:r w:rsidR="22232DBB" w:rsidRPr="17F06E75">
        <w:rPr>
          <w:rFonts w:ascii="Arial" w:hAnsi="Arial" w:cs="Arial"/>
          <w:b/>
          <w:bCs/>
          <w:sz w:val="32"/>
          <w:szCs w:val="32"/>
        </w:rPr>
        <w:t xml:space="preserve">construction of </w:t>
      </w:r>
      <w:r w:rsidR="005A54D0">
        <w:rPr>
          <w:rFonts w:ascii="Arial" w:hAnsi="Arial" w:cs="Arial"/>
          <w:b/>
          <w:bCs/>
          <w:sz w:val="32"/>
          <w:szCs w:val="32"/>
        </w:rPr>
        <w:t>70</w:t>
      </w:r>
      <w:r w:rsidR="22232DBB" w:rsidRPr="17F06E75">
        <w:rPr>
          <w:rFonts w:ascii="Arial" w:hAnsi="Arial" w:cs="Arial"/>
          <w:b/>
          <w:bCs/>
          <w:sz w:val="32"/>
          <w:szCs w:val="32"/>
        </w:rPr>
        <w:t xml:space="preserve"> </w:t>
      </w:r>
      <w:r w:rsidR="00B04AF0">
        <w:rPr>
          <w:rFonts w:ascii="Arial" w:hAnsi="Arial" w:cs="Arial"/>
          <w:b/>
          <w:bCs/>
          <w:sz w:val="32"/>
          <w:szCs w:val="32"/>
        </w:rPr>
        <w:t xml:space="preserve">Emergency </w:t>
      </w:r>
      <w:r w:rsidR="005A54D0">
        <w:rPr>
          <w:rFonts w:ascii="Arial" w:hAnsi="Arial" w:cs="Arial"/>
          <w:b/>
          <w:bCs/>
          <w:sz w:val="32"/>
          <w:szCs w:val="32"/>
        </w:rPr>
        <w:t>Showers</w:t>
      </w:r>
      <w:r w:rsidR="22232DBB" w:rsidRPr="17F06E75">
        <w:rPr>
          <w:rFonts w:ascii="Arial" w:hAnsi="Arial" w:cs="Arial"/>
          <w:b/>
          <w:bCs/>
          <w:sz w:val="32"/>
          <w:szCs w:val="32"/>
        </w:rPr>
        <w:t xml:space="preserve"> </w:t>
      </w:r>
      <w:r w:rsidR="48B3F6AE" w:rsidRPr="17F06E75">
        <w:rPr>
          <w:rFonts w:ascii="Arial" w:hAnsi="Arial" w:cs="Arial"/>
          <w:b/>
          <w:bCs/>
          <w:sz w:val="28"/>
          <w:szCs w:val="28"/>
        </w:rPr>
        <w:t xml:space="preserve">in </w:t>
      </w:r>
      <w:r w:rsidR="00B04AF0">
        <w:rPr>
          <w:rFonts w:ascii="Arial" w:hAnsi="Arial" w:cs="Arial"/>
          <w:b/>
          <w:bCs/>
          <w:sz w:val="28"/>
          <w:szCs w:val="28"/>
        </w:rPr>
        <w:t>Jazeera</w:t>
      </w:r>
      <w:r w:rsidR="48B3F6AE" w:rsidRPr="17F06E75">
        <w:rPr>
          <w:rFonts w:ascii="Arial" w:hAnsi="Arial" w:cs="Arial"/>
          <w:b/>
          <w:bCs/>
          <w:sz w:val="28"/>
          <w:szCs w:val="28"/>
        </w:rPr>
        <w:t xml:space="preserve"> State</w:t>
      </w:r>
      <w:r w:rsidR="45339EA7" w:rsidRPr="17F06E75">
        <w:rPr>
          <w:rFonts w:ascii="Arial" w:hAnsi="Arial" w:cs="Arial"/>
          <w:b/>
          <w:bCs/>
          <w:sz w:val="28"/>
          <w:szCs w:val="28"/>
        </w:rPr>
        <w:t>-</w:t>
      </w:r>
      <w:r w:rsidR="000F09E3">
        <w:rPr>
          <w:rFonts w:ascii="Arial" w:hAnsi="Arial" w:cs="Arial"/>
          <w:b/>
          <w:bCs/>
          <w:sz w:val="28"/>
          <w:szCs w:val="28"/>
        </w:rPr>
        <w:t>Almanagil town</w:t>
      </w:r>
      <w:r w:rsidR="0301CDA6" w:rsidRPr="17F06E75">
        <w:rPr>
          <w:rFonts w:ascii="Arial" w:hAnsi="Arial" w:cs="Arial"/>
          <w:b/>
          <w:bCs/>
          <w:sz w:val="28"/>
          <w:szCs w:val="28"/>
        </w:rPr>
        <w:t xml:space="preserve"> under</w:t>
      </w:r>
      <w:r w:rsidRPr="17F06E75">
        <w:rPr>
          <w:rFonts w:ascii="Arial" w:hAnsi="Arial" w:cs="Arial"/>
          <w:b/>
          <w:bCs/>
          <w:sz w:val="28"/>
          <w:szCs w:val="28"/>
        </w:rPr>
        <w:t xml:space="preserve"> a </w:t>
      </w:r>
      <w:r w:rsidR="00FA78B3" w:rsidRPr="17F06E75">
        <w:rPr>
          <w:rFonts w:ascii="Arial" w:hAnsi="Arial" w:cs="Arial"/>
          <w:b/>
          <w:bCs/>
          <w:sz w:val="28"/>
          <w:szCs w:val="28"/>
        </w:rPr>
        <w:t>[</w:t>
      </w:r>
      <w:r w:rsidR="005627EA" w:rsidRPr="17F06E75">
        <w:rPr>
          <w:rFonts w:ascii="Arial" w:hAnsi="Arial" w:cs="Arial"/>
          <w:b/>
          <w:bCs/>
          <w:color w:val="FF0000"/>
          <w:sz w:val="28"/>
          <w:szCs w:val="28"/>
        </w:rPr>
        <w:t>ITT</w:t>
      </w:r>
      <w:r w:rsidR="00FA78B3" w:rsidRPr="17F06E75">
        <w:rPr>
          <w:rFonts w:ascii="Arial" w:hAnsi="Arial" w:cs="Arial"/>
          <w:b/>
          <w:bCs/>
          <w:sz w:val="28"/>
          <w:szCs w:val="28"/>
        </w:rPr>
        <w:t xml:space="preserve">] </w:t>
      </w:r>
      <w:r w:rsidRPr="17F06E75">
        <w:rPr>
          <w:rFonts w:ascii="Arial" w:hAnsi="Arial" w:cs="Arial"/>
          <w:b/>
          <w:bCs/>
          <w:sz w:val="28"/>
          <w:szCs w:val="28"/>
        </w:rPr>
        <w:t xml:space="preserve">REF: </w:t>
      </w:r>
      <w:r w:rsidR="00FA78B3" w:rsidRPr="005B6AB5">
        <w:rPr>
          <w:rFonts w:ascii="Arial" w:hAnsi="Arial" w:cs="Arial"/>
          <w:b/>
          <w:bCs/>
          <w:color w:val="FF0000"/>
          <w:sz w:val="28"/>
          <w:szCs w:val="28"/>
        </w:rPr>
        <w:t>[</w:t>
      </w:r>
      <w:r w:rsidR="5C2C5ADC" w:rsidRPr="005B6AB5">
        <w:rPr>
          <w:rFonts w:ascii="Arial" w:hAnsi="Arial" w:cs="Arial"/>
          <w:b/>
          <w:bCs/>
          <w:color w:val="FF0000"/>
          <w:sz w:val="28"/>
          <w:szCs w:val="28"/>
        </w:rPr>
        <w:t>2023</w:t>
      </w:r>
      <w:r w:rsidR="000F09E3">
        <w:rPr>
          <w:rFonts w:ascii="Arial" w:hAnsi="Arial" w:cs="Arial"/>
          <w:b/>
          <w:bCs/>
          <w:color w:val="FF0000"/>
          <w:sz w:val="28"/>
          <w:szCs w:val="28"/>
        </w:rPr>
        <w:t>0110</w:t>
      </w:r>
      <w:r w:rsidR="005A54D0">
        <w:rPr>
          <w:rFonts w:ascii="Arial" w:hAnsi="Arial" w:cs="Arial"/>
          <w:b/>
          <w:bCs/>
          <w:color w:val="FF0000"/>
          <w:sz w:val="28"/>
          <w:szCs w:val="28"/>
        </w:rPr>
        <w:t>30</w:t>
      </w:r>
      <w:r w:rsidR="00B04AF0" w:rsidRPr="005B6AB5">
        <w:rPr>
          <w:rFonts w:ascii="Arial" w:hAnsi="Arial" w:cs="Arial"/>
          <w:b/>
          <w:bCs/>
          <w:color w:val="FF0000"/>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7EF4F6BE" w:rsidR="00334B91" w:rsidRPr="000A0E05" w:rsidRDefault="005A54D0" w:rsidP="005B6AB5">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30</w:t>
            </w:r>
            <w:r w:rsidR="005627EA" w:rsidRPr="17F06E75">
              <w:rPr>
                <w:rFonts w:ascii="Arial" w:hAnsi="Arial" w:cs="Arial"/>
                <w:color w:val="000000" w:themeColor="text1"/>
                <w:sz w:val="22"/>
                <w:szCs w:val="22"/>
                <w:lang w:val="en-GB" w:eastAsia="en-GB"/>
              </w:rPr>
              <w:t>/</w:t>
            </w:r>
            <w:r w:rsidR="000F09E3">
              <w:rPr>
                <w:rFonts w:ascii="Arial" w:hAnsi="Arial" w:cs="Arial"/>
                <w:color w:val="000000" w:themeColor="text1"/>
                <w:sz w:val="22"/>
                <w:szCs w:val="22"/>
                <w:lang w:val="en-GB" w:eastAsia="en-GB"/>
              </w:rPr>
              <w:t>11</w:t>
            </w:r>
            <w:r w:rsidR="005627EA" w:rsidRPr="17F06E75">
              <w:rPr>
                <w:rFonts w:ascii="Arial" w:hAnsi="Arial" w:cs="Arial"/>
                <w:color w:val="000000" w:themeColor="text1"/>
                <w:sz w:val="22"/>
                <w:szCs w:val="22"/>
                <w:lang w:val="en-GB" w:eastAsia="en-GB"/>
              </w:rPr>
              <w:t>/202</w:t>
            </w:r>
            <w:r w:rsidR="23ADD6AC" w:rsidRPr="17F06E75">
              <w:rPr>
                <w:rFonts w:ascii="Arial" w:hAnsi="Arial" w:cs="Arial"/>
                <w:color w:val="000000" w:themeColor="text1"/>
                <w:sz w:val="22"/>
                <w:szCs w:val="22"/>
                <w:lang w:val="en-GB" w:eastAsia="en-GB"/>
              </w:rPr>
              <w:t>3</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5BA98A01" w:rsidR="00334B91" w:rsidRPr="000A0E05" w:rsidRDefault="00F731B9" w:rsidP="000F09E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w:t>
            </w:r>
            <w:r w:rsidR="000F09E3">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w:t>
            </w:r>
            <w:r w:rsidR="000F09E3">
              <w:rPr>
                <w:rFonts w:ascii="Arial" w:hAnsi="Arial" w:cs="Arial"/>
                <w:color w:val="000000" w:themeColor="text1"/>
                <w:sz w:val="22"/>
                <w:szCs w:val="22"/>
                <w:lang w:val="en-GB" w:eastAsia="en-GB"/>
              </w:rPr>
              <w:t>12</w:t>
            </w:r>
            <w:r w:rsidR="005627EA" w:rsidRPr="17F06E75">
              <w:rPr>
                <w:rFonts w:ascii="Arial" w:hAnsi="Arial" w:cs="Arial"/>
                <w:color w:val="000000" w:themeColor="text1"/>
                <w:sz w:val="22"/>
                <w:szCs w:val="22"/>
                <w:lang w:val="en-GB" w:eastAsia="en-GB"/>
              </w:rPr>
              <w:t>/202</w:t>
            </w:r>
            <w:r w:rsidR="3020E244" w:rsidRPr="17F06E75">
              <w:rPr>
                <w:rFonts w:ascii="Arial" w:hAnsi="Arial" w:cs="Arial"/>
                <w:color w:val="000000" w:themeColor="text1"/>
                <w:sz w:val="22"/>
                <w:szCs w:val="22"/>
                <w:lang w:val="en-GB" w:eastAsia="en-GB"/>
              </w:rPr>
              <w:t>3</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2EEDF0D8" w:rsidR="00334B91" w:rsidRPr="000A0E05" w:rsidRDefault="000F09E3"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07</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12</w:t>
            </w:r>
            <w:r w:rsidRPr="17F06E75">
              <w:rPr>
                <w:rFonts w:ascii="Arial" w:hAnsi="Arial" w:cs="Arial"/>
                <w:color w:val="000000" w:themeColor="text1"/>
                <w:sz w:val="22"/>
                <w:szCs w:val="22"/>
                <w:lang w:val="en-GB" w:eastAsia="en-GB"/>
              </w:rPr>
              <w:t>/2023</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0DEA932D" w:rsidR="00F41007" w:rsidRPr="000A0E05" w:rsidRDefault="000F09E3"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10</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11</w:t>
            </w:r>
            <w:r w:rsidR="005627EA" w:rsidRPr="17F06E75">
              <w:rPr>
                <w:rFonts w:ascii="Arial" w:hAnsi="Arial" w:cs="Arial"/>
                <w:color w:val="000000" w:themeColor="text1"/>
                <w:sz w:val="22"/>
                <w:szCs w:val="22"/>
                <w:lang w:val="en-GB" w:eastAsia="en-GB"/>
              </w:rPr>
              <w:t>/202</w:t>
            </w:r>
            <w:r w:rsidR="596DF423" w:rsidRPr="17F06E75">
              <w:rPr>
                <w:rFonts w:ascii="Arial" w:hAnsi="Arial" w:cs="Arial"/>
                <w:color w:val="000000" w:themeColor="text1"/>
                <w:sz w:val="22"/>
                <w:szCs w:val="22"/>
                <w:lang w:val="en-GB" w:eastAsia="en-GB"/>
              </w:rPr>
              <w:t>3</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20966E08" w:rsidR="008451E8" w:rsidRPr="00F731B9" w:rsidRDefault="005C7FD6" w:rsidP="000F09E3">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r w:rsidR="148F9308" w:rsidRPr="17F06E75">
        <w:rPr>
          <w:rFonts w:ascii="Arial" w:hAnsi="Arial" w:cs="Arial"/>
          <w:b/>
          <w:bCs/>
          <w:color w:val="FF0000"/>
        </w:rPr>
        <w:t xml:space="preserve">Construction of </w:t>
      </w:r>
      <w:r w:rsidR="000F09E3">
        <w:rPr>
          <w:rFonts w:ascii="Arial" w:hAnsi="Arial" w:cs="Arial"/>
          <w:b/>
          <w:bCs/>
          <w:color w:val="FF0000"/>
        </w:rPr>
        <w:t xml:space="preserve">50 </w:t>
      </w:r>
      <w:r w:rsidR="148F9308" w:rsidRPr="17F06E75">
        <w:rPr>
          <w:rFonts w:ascii="Arial" w:hAnsi="Arial" w:cs="Arial"/>
          <w:b/>
          <w:bCs/>
          <w:color w:val="FF0000"/>
        </w:rPr>
        <w:t xml:space="preserve"> </w:t>
      </w:r>
      <w:r w:rsidR="00F731B9">
        <w:rPr>
          <w:rFonts w:ascii="Arial" w:hAnsi="Arial" w:cs="Arial"/>
          <w:b/>
          <w:bCs/>
          <w:color w:val="FF0000"/>
        </w:rPr>
        <w:t xml:space="preserve">Emergency </w:t>
      </w:r>
      <w:r w:rsidR="148F9308" w:rsidRPr="17F06E75">
        <w:rPr>
          <w:rFonts w:ascii="Arial" w:hAnsi="Arial" w:cs="Arial"/>
          <w:b/>
          <w:bCs/>
          <w:color w:val="FF0000"/>
        </w:rPr>
        <w:t xml:space="preserve">Latrines </w:t>
      </w:r>
      <w:r w:rsidR="1807178A" w:rsidRPr="17F06E75">
        <w:rPr>
          <w:rFonts w:ascii="Arial" w:hAnsi="Arial" w:cs="Arial"/>
          <w:b/>
          <w:bCs/>
          <w:color w:val="FF0000"/>
        </w:rPr>
        <w:t xml:space="preserve"> </w:t>
      </w:r>
      <w:r w:rsidR="00F731B9">
        <w:rPr>
          <w:rFonts w:ascii="Arial" w:hAnsi="Arial" w:cs="Arial"/>
          <w:b/>
          <w:bCs/>
          <w:color w:val="FF0000"/>
        </w:rPr>
        <w:t xml:space="preserve">In </w:t>
      </w:r>
      <w:r w:rsidR="1D2F5D45" w:rsidRPr="17F06E75">
        <w:rPr>
          <w:rFonts w:ascii="Arial" w:hAnsi="Arial" w:cs="Arial"/>
          <w:b/>
          <w:bCs/>
          <w:color w:val="FF0000"/>
        </w:rPr>
        <w:t>G</w:t>
      </w:r>
      <w:r w:rsidR="00AB1987">
        <w:rPr>
          <w:rFonts w:ascii="Arial" w:hAnsi="Arial" w:cs="Arial"/>
          <w:b/>
          <w:bCs/>
          <w:color w:val="FF0000"/>
        </w:rPr>
        <w:t>azeera</w:t>
      </w:r>
      <w:r w:rsidR="1807178A" w:rsidRPr="17F06E75">
        <w:rPr>
          <w:rFonts w:ascii="Arial" w:hAnsi="Arial" w:cs="Arial"/>
          <w:b/>
          <w:bCs/>
          <w:color w:val="FF0000"/>
        </w:rPr>
        <w:t xml:space="preserve"> State</w:t>
      </w:r>
      <w:r w:rsidR="1A9D8D85" w:rsidRPr="17F06E75">
        <w:rPr>
          <w:rFonts w:ascii="Arial" w:hAnsi="Arial" w:cs="Arial"/>
          <w:b/>
          <w:bCs/>
          <w:color w:val="FF0000"/>
        </w:rPr>
        <w:t xml:space="preserve"> </w:t>
      </w:r>
      <w:r w:rsidR="000F09E3">
        <w:rPr>
          <w:rFonts w:ascii="Arial" w:hAnsi="Arial" w:cs="Arial"/>
          <w:b/>
          <w:bCs/>
          <w:color w:val="FF0000"/>
        </w:rPr>
        <w:t>Almanagil town</w:t>
      </w:r>
      <w:r w:rsidR="655EC2B4" w:rsidRPr="17F06E75">
        <w:rPr>
          <w:rFonts w:ascii="Arial" w:hAnsi="Arial" w:cs="Arial"/>
          <w:b/>
          <w:bCs/>
          <w:color w:val="FF0000"/>
        </w:rPr>
        <w:t xml:space="preserve"> </w:t>
      </w:r>
      <w:r w:rsidR="655EC2B4"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7BDAD963" w:rsidR="008451E8" w:rsidRDefault="003F1BBC" w:rsidP="00FA78B3">
      <w:pPr>
        <w:pStyle w:val="Heading2"/>
        <w:rPr>
          <w:rFonts w:ascii="Arial" w:hAnsi="Arial" w:cs="Arial"/>
          <w:sz w:val="24"/>
          <w:szCs w:val="24"/>
        </w:rPr>
      </w:pPr>
      <w:r w:rsidRPr="17F06E75">
        <w:rPr>
          <w:rFonts w:ascii="Arial" w:hAnsi="Arial" w:cs="Arial"/>
          <w:sz w:val="24"/>
          <w:szCs w:val="24"/>
        </w:rPr>
        <w:lastRenderedPageBreak/>
        <w:t xml:space="preserve">The service being offered must be in line with the following requirements </w:t>
      </w:r>
    </w:p>
    <w:p w14:paraId="1F10BFD0" w14:textId="77777777" w:rsidR="00E550D4" w:rsidRPr="00E550D4" w:rsidRDefault="00E550D4" w:rsidP="00E550D4"/>
    <w:p w14:paraId="0C238CB0" w14:textId="77777777" w:rsidR="005A54D0" w:rsidRDefault="00042723" w:rsidP="000F09E3">
      <w:pPr>
        <w:rPr>
          <w:rFonts w:ascii="Calibri" w:eastAsia="Times New Roman" w:hAnsi="Calibri" w:cs="Calibri"/>
          <w:b/>
          <w:bCs/>
          <w:color w:val="000000"/>
          <w:sz w:val="24"/>
          <w:szCs w:val="24"/>
          <w:lang w:val="en-US"/>
        </w:rPr>
      </w:pPr>
      <w:r>
        <w:rPr>
          <w:rFonts w:ascii="Arial" w:eastAsia="Calibri,Times New Roman" w:hAnsi="Arial" w:cs="Arial"/>
          <w:sz w:val="20"/>
          <w:szCs w:val="20"/>
          <w:lang w:eastAsia="en-GB"/>
        </w:rPr>
        <w:t>1</w:t>
      </w:r>
    </w:p>
    <w:tbl>
      <w:tblPr>
        <w:tblW w:w="9988" w:type="dxa"/>
        <w:tblInd w:w="-5" w:type="dxa"/>
        <w:tblLook w:val="04A0" w:firstRow="1" w:lastRow="0" w:firstColumn="1" w:lastColumn="0" w:noHBand="0" w:noVBand="1"/>
      </w:tblPr>
      <w:tblGrid>
        <w:gridCol w:w="9988"/>
      </w:tblGrid>
      <w:tr w:rsidR="005A54D0" w:rsidRPr="005A54D0" w14:paraId="018A8E7C" w14:textId="77777777" w:rsidTr="005A54D0">
        <w:trPr>
          <w:trHeight w:val="872"/>
        </w:trPr>
        <w:tc>
          <w:tcPr>
            <w:tcW w:w="9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FDB9" w14:textId="77777777" w:rsidR="005A54D0" w:rsidRPr="005A54D0" w:rsidRDefault="005A54D0" w:rsidP="005A54D0">
            <w:pPr>
              <w:spacing w:after="0" w:line="240" w:lineRule="auto"/>
              <w:rPr>
                <w:rFonts w:ascii="Calibri" w:eastAsia="Times New Roman" w:hAnsi="Calibri" w:cs="Calibri"/>
                <w:b/>
                <w:bCs/>
                <w:color w:val="000000"/>
                <w:sz w:val="24"/>
                <w:szCs w:val="24"/>
                <w:lang w:val="en-US"/>
              </w:rPr>
            </w:pPr>
            <w:r w:rsidRPr="005A54D0">
              <w:rPr>
                <w:rFonts w:ascii="Calibri" w:eastAsia="Times New Roman" w:hAnsi="Calibri" w:cs="Calibri"/>
                <w:b/>
                <w:bCs/>
                <w:color w:val="000000"/>
                <w:sz w:val="24"/>
                <w:szCs w:val="24"/>
                <w:lang w:val="en-US"/>
              </w:rPr>
              <w:t>Mobilization of labor, tools,electricty,water and machinery required for the implementaton of 75 holes shower</w:t>
            </w:r>
          </w:p>
        </w:tc>
      </w:tr>
      <w:tr w:rsidR="005A54D0" w:rsidRPr="005A54D0" w14:paraId="09C28F67" w14:textId="77777777" w:rsidTr="005A54D0">
        <w:trPr>
          <w:trHeight w:val="581"/>
        </w:trPr>
        <w:tc>
          <w:tcPr>
            <w:tcW w:w="9988" w:type="dxa"/>
            <w:tcBorders>
              <w:top w:val="nil"/>
              <w:left w:val="single" w:sz="4" w:space="0" w:color="auto"/>
              <w:bottom w:val="single" w:sz="4" w:space="0" w:color="auto"/>
              <w:right w:val="single" w:sz="4" w:space="0" w:color="auto"/>
            </w:tcBorders>
            <w:shd w:val="clear" w:color="auto" w:fill="auto"/>
            <w:vAlign w:val="center"/>
            <w:hideMark/>
          </w:tcPr>
          <w:p w14:paraId="3B88CA38" w14:textId="77777777" w:rsidR="005A54D0" w:rsidRPr="005A54D0" w:rsidRDefault="005A54D0" w:rsidP="005A54D0">
            <w:pPr>
              <w:spacing w:after="0" w:line="240" w:lineRule="auto"/>
              <w:rPr>
                <w:rFonts w:ascii="Calibri" w:eastAsia="Times New Roman" w:hAnsi="Calibri" w:cs="Calibri"/>
                <w:b/>
                <w:bCs/>
                <w:color w:val="000000"/>
                <w:sz w:val="24"/>
                <w:szCs w:val="24"/>
                <w:lang w:val="en-US"/>
              </w:rPr>
            </w:pPr>
            <w:r w:rsidRPr="005A54D0">
              <w:rPr>
                <w:rFonts w:ascii="Calibri" w:eastAsia="Times New Roman" w:hAnsi="Calibri" w:cs="Calibri"/>
                <w:b/>
                <w:bCs/>
                <w:color w:val="000000"/>
                <w:sz w:val="24"/>
                <w:szCs w:val="24"/>
                <w:lang w:val="en-US"/>
              </w:rPr>
              <w:t>Provide and cover the pit with concrete slab 80*80.</w:t>
            </w:r>
          </w:p>
        </w:tc>
      </w:tr>
      <w:tr w:rsidR="005A54D0" w:rsidRPr="005A54D0" w14:paraId="2213297C" w14:textId="77777777" w:rsidTr="005A54D0">
        <w:trPr>
          <w:trHeight w:val="581"/>
        </w:trPr>
        <w:tc>
          <w:tcPr>
            <w:tcW w:w="9988" w:type="dxa"/>
            <w:tcBorders>
              <w:top w:val="nil"/>
              <w:left w:val="single" w:sz="4" w:space="0" w:color="auto"/>
              <w:bottom w:val="nil"/>
              <w:right w:val="single" w:sz="4" w:space="0" w:color="auto"/>
            </w:tcBorders>
            <w:shd w:val="clear" w:color="auto" w:fill="auto"/>
            <w:vAlign w:val="bottom"/>
            <w:hideMark/>
          </w:tcPr>
          <w:p w14:paraId="0804252F" w14:textId="77777777" w:rsidR="005A54D0" w:rsidRPr="005A54D0" w:rsidRDefault="005A54D0" w:rsidP="005A54D0">
            <w:pPr>
              <w:spacing w:after="0" w:line="240" w:lineRule="auto"/>
              <w:rPr>
                <w:rFonts w:ascii="Calibri" w:eastAsia="Times New Roman" w:hAnsi="Calibri" w:cs="Calibri"/>
                <w:b/>
                <w:bCs/>
                <w:color w:val="000000"/>
                <w:sz w:val="24"/>
                <w:szCs w:val="24"/>
                <w:lang w:val="en-US"/>
              </w:rPr>
            </w:pPr>
            <w:r w:rsidRPr="005A54D0">
              <w:rPr>
                <w:rFonts w:ascii="Calibri" w:eastAsia="Times New Roman" w:hAnsi="Calibri" w:cs="Calibri"/>
                <w:b/>
                <w:bCs/>
                <w:color w:val="000000"/>
                <w:sz w:val="24"/>
                <w:szCs w:val="24"/>
                <w:lang w:val="en-US"/>
              </w:rPr>
              <w:t>Superstructure: L:1x W:1m X H:2m using iron pipes 3*6 (1MM) thickness )</w:t>
            </w:r>
          </w:p>
        </w:tc>
      </w:tr>
      <w:tr w:rsidR="005A54D0" w:rsidRPr="005A54D0" w14:paraId="17EB7A71" w14:textId="77777777" w:rsidTr="005A54D0">
        <w:trPr>
          <w:trHeight w:val="1162"/>
        </w:trPr>
        <w:tc>
          <w:tcPr>
            <w:tcW w:w="9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B305E" w14:textId="77777777" w:rsidR="005A54D0" w:rsidRPr="005A54D0" w:rsidRDefault="005A54D0" w:rsidP="005A54D0">
            <w:pPr>
              <w:spacing w:after="0" w:line="240" w:lineRule="auto"/>
              <w:rPr>
                <w:rFonts w:ascii="Calibri" w:eastAsia="Times New Roman" w:hAnsi="Calibri" w:cs="Calibri"/>
                <w:b/>
                <w:bCs/>
                <w:color w:val="000000"/>
                <w:sz w:val="24"/>
                <w:szCs w:val="24"/>
                <w:lang w:val="en-US"/>
              </w:rPr>
            </w:pPr>
            <w:r w:rsidRPr="005A54D0">
              <w:rPr>
                <w:rFonts w:ascii="Calibri" w:eastAsia="Times New Roman" w:hAnsi="Calibri" w:cs="Calibri"/>
                <w:b/>
                <w:bCs/>
                <w:color w:val="000000"/>
                <w:sz w:val="24"/>
                <w:szCs w:val="24"/>
                <w:lang w:val="en-US"/>
              </w:rPr>
              <w:t xml:space="preserve"> fixing high quality Zinc sheets 220*80 as walls covering the latrine all 4 sides using drill zinc screw including door 70*200cm using iron pipes 2.5cm*5 cm*1mm</w:t>
            </w:r>
          </w:p>
        </w:tc>
      </w:tr>
    </w:tbl>
    <w:p w14:paraId="7BCE9896" w14:textId="401BF8C6" w:rsidR="000F09E3" w:rsidRDefault="000F09E3" w:rsidP="000F09E3">
      <w:pPr>
        <w:rPr>
          <w:rFonts w:ascii="Calibri" w:eastAsia="Times New Roman" w:hAnsi="Calibri" w:cs="Calibri"/>
          <w:b/>
          <w:bCs/>
          <w:color w:val="000000"/>
          <w:sz w:val="24"/>
          <w:szCs w:val="24"/>
          <w:lang w:val="en-US"/>
        </w:rPr>
      </w:pPr>
    </w:p>
    <w:p w14:paraId="414FEA53" w14:textId="7971E85C" w:rsidR="2C8B49EB" w:rsidRPr="008D0A85" w:rsidRDefault="005A54D0" w:rsidP="000F09E3">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2</w:t>
      </w:r>
      <w:r w:rsidR="2C8B49EB" w:rsidRPr="008D0A85">
        <w:rPr>
          <w:rFonts w:ascii="Calibri" w:eastAsia="Times New Roman" w:hAnsi="Calibri" w:cs="Calibri"/>
          <w:b/>
          <w:bCs/>
          <w:color w:val="000000"/>
          <w:sz w:val="24"/>
          <w:szCs w:val="24"/>
          <w:lang w:val="en-US"/>
        </w:rPr>
        <w:t>-The specified works include supply of materials, labour, providing water and electricity and all other requirements to implement the job perfectly. The bidder must visit the site prior to submission of bid documents. The cost of this item should be included/embedded in the other items.</w:t>
      </w:r>
    </w:p>
    <w:p w14:paraId="07C68772" w14:textId="783EFAF0" w:rsidR="7550CB96" w:rsidRPr="008D0A85" w:rsidRDefault="005A54D0" w:rsidP="00A73B6E">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3</w:t>
      </w:r>
      <w:r w:rsidR="7550CB96" w:rsidRPr="008D0A85">
        <w:rPr>
          <w:rFonts w:ascii="Calibri" w:eastAsia="Times New Roman" w:hAnsi="Calibri" w:cs="Calibri"/>
          <w:b/>
          <w:bCs/>
          <w:color w:val="000000"/>
          <w:sz w:val="24"/>
          <w:szCs w:val="24"/>
          <w:lang w:val="en-US"/>
        </w:rPr>
        <w:t xml:space="preserve">- The use of local unskilled labour identified by </w:t>
      </w:r>
      <w:r w:rsidR="00A73B6E">
        <w:rPr>
          <w:rFonts w:ascii="Calibri" w:eastAsia="Times New Roman" w:hAnsi="Calibri" w:cs="Calibri"/>
          <w:b/>
          <w:bCs/>
          <w:color w:val="000000"/>
          <w:sz w:val="24"/>
          <w:szCs w:val="24"/>
          <w:lang w:val="en-US"/>
        </w:rPr>
        <w:t>MA</w:t>
      </w:r>
      <w:r w:rsidR="0052518E">
        <w:rPr>
          <w:rFonts w:ascii="Calibri" w:eastAsia="Times New Roman" w:hAnsi="Calibri" w:cs="Calibri"/>
          <w:b/>
          <w:bCs/>
          <w:color w:val="000000"/>
          <w:sz w:val="24"/>
          <w:szCs w:val="24"/>
          <w:lang w:val="en-US"/>
        </w:rPr>
        <w:t xml:space="preserve"> Jazeera</w:t>
      </w:r>
      <w:r w:rsidR="7550CB96" w:rsidRPr="008D0A85">
        <w:rPr>
          <w:rFonts w:ascii="Calibri" w:eastAsia="Times New Roman" w:hAnsi="Calibri" w:cs="Calibri"/>
          <w:b/>
          <w:bCs/>
          <w:color w:val="000000"/>
          <w:sz w:val="24"/>
          <w:szCs w:val="24"/>
          <w:lang w:val="en-US"/>
        </w:rPr>
        <w:t xml:space="preserve"> office and group work payment mechanism</w:t>
      </w: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lastRenderedPageBreak/>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18D7A9FA" w:rsidR="009A6626" w:rsidRPr="000A0E05" w:rsidRDefault="00293505" w:rsidP="0080764E">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80764E">
        <w:rPr>
          <w:rStyle w:val="Hyperlink"/>
          <w:rFonts w:ascii="Arial" w:hAnsi="Arial" w:cs="Arial"/>
        </w:rPr>
        <w:t>Ibrahim.hassan</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lastRenderedPageBreak/>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41401843" w14:textId="0B900BF8" w:rsidR="000B7206" w:rsidRPr="000B7206" w:rsidRDefault="00A31A88" w:rsidP="005A54D0">
      <w:pPr>
        <w:pStyle w:val="ListParagraph"/>
        <w:numPr>
          <w:ilvl w:val="1"/>
          <w:numId w:val="5"/>
        </w:numPr>
        <w:jc w:val="both"/>
        <w:rPr>
          <w:rFonts w:ascii="Arial" w:hAnsi="Arial" w:cs="Arial"/>
          <w:b/>
          <w:bCs/>
        </w:rPr>
      </w:pPr>
      <w:r>
        <w:rPr>
          <w:rFonts w:ascii="Arial" w:hAnsi="Arial" w:cs="Arial"/>
          <w:b/>
          <w:bCs/>
          <w:color w:val="FF0000"/>
        </w:rPr>
        <w:lastRenderedPageBreak/>
        <w:t xml:space="preserve">Construction of </w:t>
      </w:r>
      <w:r w:rsidR="005A54D0">
        <w:rPr>
          <w:rFonts w:ascii="Arial" w:hAnsi="Arial" w:cs="Arial"/>
          <w:b/>
          <w:bCs/>
          <w:color w:val="FF0000"/>
        </w:rPr>
        <w:t>70</w:t>
      </w:r>
      <w:r w:rsidR="0080764E">
        <w:rPr>
          <w:rFonts w:ascii="Arial" w:hAnsi="Arial" w:cs="Arial"/>
          <w:b/>
          <w:bCs/>
          <w:color w:val="FF0000"/>
        </w:rPr>
        <w:t xml:space="preserve"> emergency </w:t>
      </w:r>
      <w:r w:rsidR="005A54D0">
        <w:rPr>
          <w:rFonts w:ascii="Arial" w:hAnsi="Arial" w:cs="Arial"/>
          <w:b/>
          <w:bCs/>
          <w:color w:val="FF0000"/>
        </w:rPr>
        <w:t>showers</w:t>
      </w:r>
      <w:r w:rsidR="12B31B92" w:rsidRPr="17F06E75">
        <w:rPr>
          <w:rFonts w:ascii="Arial" w:hAnsi="Arial" w:cs="Arial"/>
          <w:b/>
          <w:bCs/>
          <w:color w:val="FF0000"/>
        </w:rPr>
        <w:t xml:space="preserve"> in </w:t>
      </w:r>
      <w:r w:rsidR="0080764E">
        <w:rPr>
          <w:rFonts w:ascii="Arial" w:hAnsi="Arial" w:cs="Arial"/>
          <w:b/>
          <w:bCs/>
          <w:color w:val="FF0000"/>
        </w:rPr>
        <w:t xml:space="preserve">Almanagil town </w:t>
      </w:r>
      <w:r>
        <w:rPr>
          <w:rFonts w:ascii="Arial" w:hAnsi="Arial" w:cs="Arial"/>
          <w:b/>
          <w:bCs/>
          <w:color w:val="FF0000"/>
        </w:rPr>
        <w:t>-Ga</w:t>
      </w:r>
      <w:r w:rsidR="00754EC7">
        <w:rPr>
          <w:rFonts w:ascii="Arial" w:hAnsi="Arial" w:cs="Arial"/>
          <w:b/>
          <w:bCs/>
          <w:color w:val="FF0000"/>
        </w:rPr>
        <w:t>zeera</w:t>
      </w:r>
      <w:r w:rsidR="12B31B92" w:rsidRPr="17F06E75">
        <w:rPr>
          <w:rFonts w:ascii="Arial" w:hAnsi="Arial" w:cs="Arial"/>
          <w:b/>
          <w:bCs/>
          <w:color w:val="FF0000"/>
        </w:rPr>
        <w:t xml:space="preserve"> State under</w:t>
      </w:r>
      <w:r w:rsidR="69E54013" w:rsidRPr="17F06E75">
        <w:rPr>
          <w:rFonts w:ascii="Arial" w:hAnsi="Arial" w:cs="Arial"/>
          <w:b/>
          <w:bCs/>
        </w:rPr>
        <w:t xml:space="preserve"> a [</w:t>
      </w:r>
      <w:r w:rsidR="69E54013" w:rsidRPr="17F06E75">
        <w:rPr>
          <w:rFonts w:ascii="Arial" w:hAnsi="Arial" w:cs="Arial"/>
          <w:b/>
          <w:bCs/>
          <w:color w:val="FF0000"/>
        </w:rPr>
        <w:t>ITT</w:t>
      </w:r>
      <w:r w:rsidR="69E54013" w:rsidRPr="17F06E75">
        <w:rPr>
          <w:rFonts w:ascii="Arial" w:hAnsi="Arial" w:cs="Arial"/>
          <w:b/>
          <w:bCs/>
        </w:rPr>
        <w:t>] REF: [</w:t>
      </w:r>
      <w:r w:rsidR="6B8D9140" w:rsidRPr="17F06E75">
        <w:rPr>
          <w:rFonts w:ascii="Arial" w:hAnsi="Arial" w:cs="Arial"/>
          <w:b/>
          <w:bCs/>
          <w:color w:val="FF0000"/>
        </w:rPr>
        <w:t>2023</w:t>
      </w:r>
      <w:r>
        <w:rPr>
          <w:rFonts w:ascii="Arial" w:hAnsi="Arial" w:cs="Arial"/>
          <w:b/>
          <w:bCs/>
          <w:color w:val="FF0000"/>
        </w:rPr>
        <w:t>0</w:t>
      </w:r>
      <w:r w:rsidR="0080764E">
        <w:rPr>
          <w:rFonts w:ascii="Arial" w:hAnsi="Arial" w:cs="Arial"/>
          <w:b/>
          <w:bCs/>
          <w:color w:val="FF0000"/>
        </w:rPr>
        <w:t>11</w:t>
      </w:r>
      <w:r>
        <w:rPr>
          <w:rFonts w:ascii="Arial" w:hAnsi="Arial" w:cs="Arial"/>
          <w:b/>
          <w:bCs/>
          <w:color w:val="FF0000"/>
        </w:rPr>
        <w:t>00</w:t>
      </w:r>
      <w:r w:rsidR="005A54D0">
        <w:rPr>
          <w:rFonts w:ascii="Arial" w:hAnsi="Arial" w:cs="Arial"/>
          <w:b/>
          <w:bCs/>
          <w:color w:val="FF0000"/>
        </w:rPr>
        <w:t>30</w:t>
      </w:r>
      <w:r w:rsidR="69E54013" w:rsidRPr="17F06E75">
        <w:rPr>
          <w:rFonts w:ascii="Arial" w:hAnsi="Arial" w:cs="Arial"/>
          <w:b/>
          <w:bCs/>
        </w:rPr>
        <w:t>]</w:t>
      </w:r>
      <w:bookmarkStart w:id="22" w:name="_Hlk119938202"/>
    </w:p>
    <w:bookmarkEnd w:id="22"/>
    <w:p w14:paraId="2FD3F03B" w14:textId="5DA3028B"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74167378" w:rsidR="00AE2DA4" w:rsidRDefault="00344D93" w:rsidP="0080764E">
      <w:pPr>
        <w:pStyle w:val="ListParagraph"/>
        <w:numPr>
          <w:ilvl w:val="0"/>
          <w:numId w:val="5"/>
        </w:numPr>
        <w:rPr>
          <w:rFonts w:ascii="Arial" w:hAnsi="Arial" w:cs="Arial"/>
        </w:rPr>
      </w:pPr>
      <w:bookmarkStart w:id="23" w:name="_Toc465864398"/>
      <w:bookmarkStart w:id="24" w:name="_Toc465869569"/>
      <w:bookmarkStart w:id="25"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A31A88">
        <w:rPr>
          <w:rFonts w:ascii="Arial" w:hAnsi="Arial" w:cs="Arial"/>
          <w:i/>
          <w:iCs/>
        </w:rPr>
        <w:t>0</w:t>
      </w:r>
      <w:r w:rsidR="0080764E">
        <w:rPr>
          <w:rFonts w:ascii="Arial" w:hAnsi="Arial" w:cs="Arial"/>
          <w:i/>
          <w:iCs/>
        </w:rPr>
        <w:t>7</w:t>
      </w:r>
      <w:r w:rsidR="00A31A88">
        <w:rPr>
          <w:rFonts w:ascii="Arial" w:hAnsi="Arial" w:cs="Arial"/>
          <w:i/>
          <w:iCs/>
        </w:rPr>
        <w:t>/</w:t>
      </w:r>
      <w:r w:rsidR="0080764E">
        <w:rPr>
          <w:rFonts w:ascii="Arial" w:hAnsi="Arial" w:cs="Arial"/>
          <w:i/>
          <w:iCs/>
        </w:rPr>
        <w:t>12</w:t>
      </w:r>
      <w:r w:rsidR="02EBA25B" w:rsidRPr="17F06E75">
        <w:rPr>
          <w:rFonts w:ascii="Arial" w:hAnsi="Arial" w:cs="Arial"/>
          <w:i/>
          <w:iCs/>
        </w:rPr>
        <w:t>/2023}</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and technical offers </w:t>
      </w:r>
      <w:r w:rsidR="00073C78" w:rsidRPr="17F06E75">
        <w:rPr>
          <w:rFonts w:ascii="Arial" w:hAnsi="Arial" w:cs="Arial"/>
          <w:u w:val="single"/>
        </w:rPr>
        <w:t xml:space="preserve">inside in two </w:t>
      </w:r>
      <w:r w:rsidR="007F41A4" w:rsidRPr="17F06E75">
        <w:rPr>
          <w:rFonts w:ascii="Arial" w:hAnsi="Arial" w:cs="Arial"/>
          <w:u w:val="single"/>
        </w:rPr>
        <w:t>separate envelopes</w:t>
      </w:r>
      <w:r w:rsidR="00073C78" w:rsidRPr="17F06E75">
        <w:rPr>
          <w:rFonts w:ascii="Arial" w:hAnsi="Arial" w:cs="Arial"/>
          <w:u w:val="single"/>
        </w:rPr>
        <w:t xml:space="preserve"> marked as Financial Offer and Technical Offer</w:t>
      </w:r>
      <w:r w:rsidR="007F41A4" w:rsidRPr="17F06E75">
        <w:rPr>
          <w:rFonts w:ascii="Arial" w:hAnsi="Arial" w:cs="Arial"/>
        </w:rPr>
        <w:t xml:space="preserve"> </w:t>
      </w:r>
      <w:r w:rsidR="00AE2DA4" w:rsidRPr="17F06E75">
        <w:rPr>
          <w:rFonts w:ascii="Arial" w:hAnsi="Arial" w:cs="Arial"/>
        </w:rPr>
        <w:t xml:space="preserve">to the Private Tender Box c/o </w:t>
      </w:r>
      <w:bookmarkEnd w:id="23"/>
      <w:bookmarkEnd w:id="24"/>
      <w:bookmarkEnd w:id="25"/>
      <w:r w:rsidR="00D6489C" w:rsidRPr="17F06E75">
        <w:rPr>
          <w:rFonts w:ascii="Arial" w:hAnsi="Arial" w:cs="Arial"/>
        </w:rPr>
        <w:t>[</w:t>
      </w:r>
      <w:bookmarkStart w:id="26" w:name="_Hlk120021407"/>
      <w:r w:rsidR="0062419E" w:rsidRPr="17F06E75">
        <w:rPr>
          <w:rFonts w:ascii="Arial" w:hAnsi="Arial" w:cs="Arial"/>
        </w:rPr>
        <w:t xml:space="preserve">MASCO </w:t>
      </w:r>
      <w:r w:rsidR="00754EC7">
        <w:rPr>
          <w:rFonts w:ascii="Arial" w:hAnsi="Arial" w:cs="Arial"/>
        </w:rPr>
        <w:t>Gazeera –Zamalek Elwaha Area</w:t>
      </w:r>
      <w:r w:rsidR="00D6489C" w:rsidRPr="17F06E75">
        <w:rPr>
          <w:rFonts w:ascii="Arial" w:hAnsi="Arial" w:cs="Arial"/>
        </w:rPr>
        <w:t>].</w:t>
      </w:r>
      <w:r w:rsidR="00AE2DA4" w:rsidRPr="17F06E75">
        <w:rPr>
          <w:rFonts w:ascii="Arial" w:hAnsi="Arial" w:cs="Arial"/>
        </w:rPr>
        <w:t xml:space="preserve">  </w:t>
      </w:r>
      <w:bookmarkEnd w:id="26"/>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62115014" w:rsidR="00CE3BE3" w:rsidRPr="000A0E05" w:rsidRDefault="00CE3BE3" w:rsidP="0080764E">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80764E">
        <w:rPr>
          <w:rFonts w:ascii="Arial" w:hAnsi="Arial" w:cs="Arial"/>
          <w:b/>
          <w:bCs/>
        </w:rPr>
        <w:t>10</w:t>
      </w:r>
      <w:r w:rsidR="00AD3BE9" w:rsidRPr="17F06E75">
        <w:rPr>
          <w:rFonts w:ascii="Arial" w:hAnsi="Arial" w:cs="Arial"/>
          <w:b/>
          <w:bCs/>
        </w:rPr>
        <w:t>/</w:t>
      </w:r>
      <w:r w:rsidR="0080764E">
        <w:rPr>
          <w:rFonts w:ascii="Arial" w:hAnsi="Arial" w:cs="Arial"/>
          <w:b/>
          <w:bCs/>
        </w:rPr>
        <w:t>12</w:t>
      </w:r>
      <w:r w:rsidR="00AD3BE9" w:rsidRPr="17F06E75">
        <w:rPr>
          <w:rFonts w:ascii="Arial" w:hAnsi="Arial" w:cs="Arial"/>
          <w:b/>
          <w:bCs/>
        </w:rPr>
        <w:t>/202</w:t>
      </w:r>
      <w:r w:rsidR="41BB6871" w:rsidRPr="17F06E75">
        <w:rPr>
          <w:rFonts w:ascii="Arial" w:hAnsi="Arial" w:cs="Arial"/>
          <w:b/>
          <w:bCs/>
        </w:rPr>
        <w:t>3</w:t>
      </w:r>
      <w:r w:rsidR="00754EC7">
        <w:rPr>
          <w:rFonts w:ascii="Arial" w:hAnsi="Arial" w:cs="Arial"/>
          <w:b/>
          <w:bCs/>
        </w:rPr>
        <w:t>]</w:t>
      </w:r>
      <w:r w:rsidRPr="17F06E75">
        <w:rPr>
          <w:rFonts w:ascii="Arial" w:hAnsi="Arial" w:cs="Arial"/>
        </w:rPr>
        <w:t xml:space="preserve"> at the following location:</w:t>
      </w:r>
    </w:p>
    <w:p w14:paraId="2CC91822" w14:textId="70C286B9" w:rsidR="00CE3BE3" w:rsidRPr="000A0E05" w:rsidRDefault="00CE3BE3" w:rsidP="00C0022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r w:rsidR="00C00223">
        <w:rPr>
          <w:rFonts w:ascii="Arial" w:hAnsi="Arial" w:cs="Arial"/>
          <w:b/>
        </w:rPr>
        <w:t>Jazeera state –Zamalek, waha Area</w:t>
      </w:r>
      <w:r w:rsidR="007F44B1" w:rsidRPr="007F44B1">
        <w:rPr>
          <w:rFonts w:ascii="Arial" w:hAnsi="Arial" w:cs="Arial"/>
          <w:b/>
        </w:rPr>
        <w:t xml:space="preserve">]. </w:t>
      </w:r>
    </w:p>
    <w:p w14:paraId="4D02DCF7" w14:textId="13EBB0C0" w:rsidR="00CE3BE3" w:rsidRPr="000A0E05" w:rsidRDefault="00CE3BE3" w:rsidP="00C0022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C00223" w:rsidRPr="007F44B1">
        <w:rPr>
          <w:rFonts w:ascii="Arial" w:hAnsi="Arial" w:cs="Arial"/>
          <w:b/>
        </w:rPr>
        <w:t xml:space="preserve">MASCO </w:t>
      </w:r>
      <w:r w:rsidR="00C00223">
        <w:rPr>
          <w:rFonts w:ascii="Arial" w:hAnsi="Arial" w:cs="Arial"/>
          <w:b/>
        </w:rPr>
        <w:t>Jazeera state –Zamalek, waha Area</w:t>
      </w:r>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7" w:name="_Toc466022947"/>
      <w:r w:rsidRPr="000A0E05">
        <w:rPr>
          <w:rFonts w:ascii="Arial" w:hAnsi="Arial" w:cs="Arial"/>
        </w:rPr>
        <w:t xml:space="preserve">Evaluation Process </w:t>
      </w:r>
      <w:bookmarkEnd w:id="27"/>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lastRenderedPageBreak/>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438E39C6"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Latrines </w:t>
            </w:r>
            <w:r w:rsidR="00E550D4" w:rsidRPr="17F06E75">
              <w:rPr>
                <w:rFonts w:ascii="Arial" w:eastAsia="Arial" w:hAnsi="Arial" w:cs="Arial"/>
                <w:b/>
                <w:bCs/>
                <w:color w:val="FF0000"/>
                <w:lang w:val="en-GB"/>
              </w:rPr>
              <w:t>Construction.</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8"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8"/>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9" w:name="_Toc118102667"/>
      <w:bookmarkStart w:id="30" w:name="_Toc118102843"/>
      <w:bookmarkStart w:id="31" w:name="_Toc231810399"/>
      <w:bookmarkStart w:id="32" w:name="_Toc466022951"/>
      <w:r w:rsidRPr="000A0E05">
        <w:rPr>
          <w:rFonts w:ascii="Arial" w:hAnsi="Arial" w:cs="Arial"/>
        </w:rPr>
        <w:t>Award Criteria</w:t>
      </w:r>
      <w:bookmarkEnd w:id="29"/>
      <w:bookmarkEnd w:id="30"/>
      <w:bookmarkEnd w:id="31"/>
      <w:bookmarkEnd w:id="32"/>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r w:rsidRPr="17F06E75">
        <w:rPr>
          <w:rFonts w:ascii="Arial" w:hAnsi="Arial" w:cs="Arial"/>
          <w:b/>
          <w:bCs/>
        </w:rPr>
        <w:t>Score</w:t>
      </w:r>
      <w:r w:rsidR="00170276" w:rsidRPr="17F06E75">
        <w:rPr>
          <w:rFonts w:ascii="Arial" w:hAnsi="Arial" w:cs="Arial"/>
          <w:b/>
          <w:bCs/>
          <w:sz w:val="18"/>
          <w:szCs w:val="18"/>
          <w:vertAlign w:val="superscript"/>
        </w:rPr>
        <w:t>supplier</w:t>
      </w:r>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(price</w:t>
      </w:r>
      <w:r w:rsidRPr="17F06E75">
        <w:rPr>
          <w:rFonts w:ascii="Arial" w:hAnsi="Arial" w:cs="Arial"/>
          <w:b/>
          <w:bCs/>
          <w:sz w:val="18"/>
          <w:szCs w:val="18"/>
          <w:vertAlign w:val="superscript"/>
        </w:rPr>
        <w:t>min</w:t>
      </w:r>
      <w:r w:rsidRPr="17F06E75">
        <w:rPr>
          <w:rFonts w:ascii="Arial" w:hAnsi="Arial" w:cs="Arial"/>
          <w:b/>
          <w:bCs/>
        </w:rPr>
        <w:t xml:space="preserve"> / price</w:t>
      </w:r>
      <w:r w:rsidR="00170276" w:rsidRPr="17F06E75">
        <w:rPr>
          <w:rFonts w:ascii="Arial" w:hAnsi="Arial" w:cs="Arial"/>
          <w:b/>
          <w:bCs/>
          <w:sz w:val="18"/>
          <w:szCs w:val="18"/>
          <w:vertAlign w:val="superscript"/>
        </w:rPr>
        <w:t>supplier</w:t>
      </w:r>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3" w:name="_Toc115690190"/>
      <w:bookmarkStart w:id="34" w:name="_Toc115693452"/>
      <w:bookmarkStart w:id="35" w:name="_Toc115694784"/>
      <w:bookmarkStart w:id="36" w:name="_Toc118102670"/>
      <w:bookmarkStart w:id="37" w:name="_Toc118102846"/>
      <w:bookmarkStart w:id="38" w:name="_Toc231810402"/>
      <w:bookmarkStart w:id="39" w:name="_Toc466022953"/>
      <w:r w:rsidRPr="000A0E05">
        <w:rPr>
          <w:rFonts w:ascii="Arial" w:hAnsi="Arial" w:cs="Arial"/>
        </w:rPr>
        <w:t>Introduction</w:t>
      </w:r>
      <w:bookmarkEnd w:id="33"/>
      <w:bookmarkEnd w:id="34"/>
      <w:bookmarkEnd w:id="35"/>
      <w:bookmarkEnd w:id="36"/>
      <w:bookmarkEnd w:id="37"/>
      <w:bookmarkEnd w:id="38"/>
      <w:bookmarkEnd w:id="39"/>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0" w:name="_Toc466022956"/>
      <w:bookmarkStart w:id="41" w:name="_Toc466022957"/>
      <w:bookmarkEnd w:id="40"/>
      <w:bookmarkEnd w:id="41"/>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lastRenderedPageBreak/>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2" w:name="_Hlk120021370"/>
            <w:r>
              <w:rPr>
                <w:rFonts w:ascii="Arial" w:hAnsi="Arial" w:cs="Arial"/>
                <w:sz w:val="20"/>
                <w:szCs w:val="20"/>
              </w:rPr>
              <w:t>N/A</w:t>
            </w:r>
            <w:bookmarkEnd w:id="42"/>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bookmarkStart w:id="43" w:name="_GoBack"/>
      <w:bookmarkEnd w:id="43"/>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4" w:name="_Toc466022958"/>
      <w:r w:rsidRPr="000A0E05">
        <w:rPr>
          <w:rFonts w:ascii="Arial" w:hAnsi="Arial" w:cs="Arial"/>
        </w:rPr>
        <w:t>Contact Details</w:t>
      </w:r>
      <w:bookmarkEnd w:id="44"/>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5"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5"/>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6"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6"/>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7" w:name="_Toc465935247"/>
      <w:bookmarkStart w:id="48" w:name="_Toc466022964"/>
      <w:r w:rsidRPr="000A0E05">
        <w:rPr>
          <w:rFonts w:ascii="Arial" w:hAnsi="Arial" w:cs="Arial"/>
        </w:rPr>
        <w:lastRenderedPageBreak/>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9" w:name="_Toc463016560"/>
      <w:bookmarkStart w:id="50" w:name="_Toc466022967"/>
      <w:bookmarkEnd w:id="47"/>
      <w:bookmarkEnd w:id="48"/>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9"/>
      <w:bookmarkEnd w:id="50"/>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1" w:name="_Toc463016561"/>
      <w:bookmarkStart w:id="52"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1"/>
      <w:bookmarkEnd w:id="52"/>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568F0" w14:textId="77777777" w:rsidR="00065385" w:rsidRDefault="00065385" w:rsidP="009218AC">
      <w:pPr>
        <w:spacing w:after="0" w:line="240" w:lineRule="auto"/>
      </w:pPr>
      <w:r>
        <w:separator/>
      </w:r>
    </w:p>
  </w:endnote>
  <w:endnote w:type="continuationSeparator" w:id="0">
    <w:p w14:paraId="6FD1C916" w14:textId="77777777" w:rsidR="00065385" w:rsidRDefault="00065385" w:rsidP="009218AC">
      <w:pPr>
        <w:spacing w:after="0" w:line="240" w:lineRule="auto"/>
      </w:pPr>
      <w:r>
        <w:continuationSeparator/>
      </w:r>
    </w:p>
  </w:endnote>
  <w:endnote w:type="continuationNotice" w:id="1">
    <w:p w14:paraId="7B75AA2C" w14:textId="77777777" w:rsidR="00065385" w:rsidRDefault="00065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09341D92" w:rsidR="000F09E3" w:rsidRDefault="000F09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54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54D0">
              <w:rPr>
                <w:b/>
                <w:bCs/>
                <w:noProof/>
              </w:rPr>
              <w:t>16</w:t>
            </w:r>
            <w:r>
              <w:rPr>
                <w:b/>
                <w:bCs/>
                <w:sz w:val="24"/>
                <w:szCs w:val="24"/>
              </w:rPr>
              <w:fldChar w:fldCharType="end"/>
            </w:r>
          </w:p>
        </w:sdtContent>
      </w:sdt>
    </w:sdtContent>
  </w:sdt>
  <w:p w14:paraId="0306761B" w14:textId="77777777" w:rsidR="000F09E3" w:rsidRDefault="000F0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9D25A" w14:textId="77777777" w:rsidR="00065385" w:rsidRDefault="00065385" w:rsidP="009218AC">
      <w:pPr>
        <w:spacing w:after="0" w:line="240" w:lineRule="auto"/>
      </w:pPr>
      <w:r>
        <w:separator/>
      </w:r>
    </w:p>
  </w:footnote>
  <w:footnote w:type="continuationSeparator" w:id="0">
    <w:p w14:paraId="0D042AC2" w14:textId="77777777" w:rsidR="00065385" w:rsidRDefault="00065385" w:rsidP="009218AC">
      <w:pPr>
        <w:spacing w:after="0" w:line="240" w:lineRule="auto"/>
      </w:pPr>
      <w:r>
        <w:continuationSeparator/>
      </w:r>
    </w:p>
  </w:footnote>
  <w:footnote w:type="continuationNotice" w:id="1">
    <w:p w14:paraId="4F167F79" w14:textId="77777777" w:rsidR="00065385" w:rsidRDefault="00065385">
      <w:pPr>
        <w:spacing w:after="0" w:line="240" w:lineRule="auto"/>
      </w:pPr>
    </w:p>
  </w:footnote>
  <w:footnote w:id="2">
    <w:p w14:paraId="0D932E53" w14:textId="022949F5" w:rsidR="000F09E3" w:rsidRDefault="000F09E3">
      <w:pPr>
        <w:pStyle w:val="FootnoteText"/>
      </w:pPr>
    </w:p>
  </w:footnote>
  <w:footnote w:id="3">
    <w:p w14:paraId="49C6F533" w14:textId="61DDC541" w:rsidR="000F09E3" w:rsidRPr="0059782C" w:rsidRDefault="000F09E3">
      <w:pPr>
        <w:pStyle w:val="FootnoteText"/>
        <w:rPr>
          <w:rFonts w:asciiTheme="minorHAnsi" w:hAnsiTheme="minorHAnsi"/>
        </w:rPr>
      </w:pPr>
    </w:p>
  </w:footnote>
  <w:footnote w:id="4">
    <w:p w14:paraId="4B5A34A4" w14:textId="76EE6936" w:rsidR="000F09E3" w:rsidRPr="005547D8" w:rsidRDefault="000F09E3">
      <w:pPr>
        <w:pStyle w:val="FootnoteText"/>
        <w:rPr>
          <w:rFonts w:asciiTheme="minorHAnsi" w:hAnsiTheme="minorHAnsi"/>
        </w:rPr>
      </w:pPr>
    </w:p>
  </w:footnote>
  <w:footnote w:id="5">
    <w:p w14:paraId="3856B0DE" w14:textId="5587ED1F" w:rsidR="000F09E3" w:rsidRPr="00CE3BE3" w:rsidRDefault="000F09E3">
      <w:pPr>
        <w:pStyle w:val="FootnoteText"/>
        <w:rPr>
          <w:rFonts w:asciiTheme="minorHAnsi" w:hAnsiTheme="minorHAnsi"/>
          <w:sz w:val="18"/>
          <w:szCs w:val="18"/>
        </w:rPr>
      </w:pPr>
    </w:p>
  </w:footnote>
  <w:footnote w:id="6">
    <w:p w14:paraId="2FDD3DA7" w14:textId="6C9D2B81" w:rsidR="000F09E3" w:rsidRPr="00CE3BE3" w:rsidRDefault="000F09E3">
      <w:pPr>
        <w:pStyle w:val="FootnoteText"/>
        <w:rPr>
          <w:rFonts w:asciiTheme="minorHAnsi" w:hAnsiTheme="minorHAnsi"/>
          <w:sz w:val="18"/>
          <w:szCs w:val="18"/>
        </w:rPr>
      </w:pPr>
    </w:p>
  </w:footnote>
  <w:footnote w:id="7">
    <w:p w14:paraId="64A8C986" w14:textId="1FAEC233" w:rsidR="000F09E3" w:rsidRPr="005076AF" w:rsidRDefault="000F09E3" w:rsidP="0001367A">
      <w:pPr>
        <w:rPr>
          <w:sz w:val="18"/>
          <w:szCs w:val="18"/>
        </w:rPr>
      </w:pPr>
    </w:p>
    <w:p w14:paraId="400B30A5" w14:textId="0856055C" w:rsidR="000F09E3" w:rsidRPr="00CE3BE3" w:rsidRDefault="000F09E3" w:rsidP="00CE3BE3">
      <w:pPr>
        <w:rPr>
          <w:sz w:val="20"/>
          <w:szCs w:val="20"/>
        </w:rPr>
      </w:pPr>
    </w:p>
    <w:p w14:paraId="377AAA63" w14:textId="68B34281" w:rsidR="000F09E3" w:rsidRDefault="000F09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1892" w14:textId="7432C4D6" w:rsidR="000F09E3" w:rsidRDefault="000F09E3"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0F09E3" w:rsidRDefault="000F09E3" w:rsidP="00CB08FA">
    <w:pPr>
      <w:pStyle w:val="Header"/>
      <w:rPr>
        <w:b/>
        <w:iCs/>
        <w:sz w:val="20"/>
        <w:szCs w:val="20"/>
      </w:rPr>
    </w:pPr>
  </w:p>
  <w:p w14:paraId="34DBB1EB" w14:textId="5B7FF310" w:rsidR="000F09E3" w:rsidRDefault="000F09E3" w:rsidP="0098440B">
    <w:pPr>
      <w:pStyle w:val="Header"/>
      <w:rPr>
        <w:b/>
        <w:bCs/>
        <w:sz w:val="20"/>
        <w:szCs w:val="20"/>
      </w:rPr>
    </w:pPr>
    <w:r w:rsidRPr="17F06E75">
      <w:rPr>
        <w:b/>
        <w:bCs/>
        <w:sz w:val="20"/>
        <w:szCs w:val="20"/>
      </w:rPr>
      <w:t>Construction Of</w:t>
    </w:r>
    <w:r w:rsidR="0098440B">
      <w:rPr>
        <w:b/>
        <w:bCs/>
        <w:sz w:val="20"/>
        <w:szCs w:val="20"/>
      </w:rPr>
      <w:t xml:space="preserve"> 50</w:t>
    </w:r>
    <w:r w:rsidRPr="17F06E75">
      <w:rPr>
        <w:b/>
        <w:bCs/>
        <w:sz w:val="20"/>
        <w:szCs w:val="20"/>
      </w:rPr>
      <w:t xml:space="preserve"> </w:t>
    </w:r>
    <w:r>
      <w:rPr>
        <w:b/>
        <w:bCs/>
        <w:sz w:val="20"/>
        <w:szCs w:val="20"/>
      </w:rPr>
      <w:t xml:space="preserve">Emergency </w:t>
    </w:r>
    <w:r w:rsidRPr="17F06E75">
      <w:rPr>
        <w:b/>
        <w:bCs/>
        <w:sz w:val="20"/>
        <w:szCs w:val="20"/>
      </w:rPr>
      <w:t xml:space="preserve">Latrines </w:t>
    </w:r>
    <w:r>
      <w:rPr>
        <w:b/>
        <w:bCs/>
        <w:sz w:val="20"/>
        <w:szCs w:val="20"/>
      </w:rPr>
      <w:t xml:space="preserve">in </w:t>
    </w:r>
    <w:r w:rsidR="0098440B">
      <w:rPr>
        <w:b/>
        <w:bCs/>
        <w:sz w:val="20"/>
        <w:szCs w:val="20"/>
      </w:rPr>
      <w:t xml:space="preserve">Almanagil Town </w:t>
    </w:r>
    <w:r>
      <w:rPr>
        <w:b/>
        <w:bCs/>
        <w:sz w:val="20"/>
        <w:szCs w:val="20"/>
      </w:rPr>
      <w:t>-Jazeera State REF</w:t>
    </w:r>
    <w:r w:rsidR="0098440B">
      <w:rPr>
        <w:b/>
        <w:bCs/>
        <w:sz w:val="20"/>
        <w:szCs w:val="20"/>
      </w:rPr>
      <w:t>: 2023011</w:t>
    </w:r>
    <w:r>
      <w:rPr>
        <w:b/>
        <w:bCs/>
        <w:sz w:val="20"/>
        <w:szCs w:val="20"/>
      </w:rPr>
      <w:t>0</w:t>
    </w:r>
    <w:r w:rsidR="0098440B">
      <w:rPr>
        <w:b/>
        <w:bCs/>
        <w:sz w:val="20"/>
        <w:szCs w:val="20"/>
      </w:rPr>
      <w:t>29</w:t>
    </w:r>
  </w:p>
  <w:p w14:paraId="253D158A" w14:textId="77777777" w:rsidR="000F09E3" w:rsidRDefault="000F09E3" w:rsidP="00042723">
    <w:pPr>
      <w:pStyle w:val="Header"/>
      <w:rPr>
        <w:b/>
        <w:bCs/>
        <w:sz w:val="20"/>
        <w:szCs w:val="20"/>
      </w:rPr>
    </w:pPr>
  </w:p>
  <w:p w14:paraId="33700F6C" w14:textId="77777777" w:rsidR="000F09E3" w:rsidRPr="0050112B" w:rsidRDefault="000F09E3" w:rsidP="00042723">
    <w:pPr>
      <w:pStyle w:val="Head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385"/>
    <w:rsid w:val="00065ECC"/>
    <w:rsid w:val="000705E9"/>
    <w:rsid w:val="0007149D"/>
    <w:rsid w:val="000739F0"/>
    <w:rsid w:val="00073C78"/>
    <w:rsid w:val="00075062"/>
    <w:rsid w:val="0008230D"/>
    <w:rsid w:val="0008500B"/>
    <w:rsid w:val="000876E3"/>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09E3"/>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E6CD8"/>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4D0"/>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0764E"/>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440B"/>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7639471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8AC14-63A2-41D2-8BED-6BA18657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MAS-NB018</cp:lastModifiedBy>
  <cp:revision>2</cp:revision>
  <cp:lastPrinted>2016-09-28T11:54:00Z</cp:lastPrinted>
  <dcterms:created xsi:type="dcterms:W3CDTF">2023-11-30T21:26:00Z</dcterms:created>
  <dcterms:modified xsi:type="dcterms:W3CDTF">2023-11-30T21:26:00Z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